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45" w:rsidRPr="00640745" w:rsidRDefault="00365EFF" w:rsidP="0064074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40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Республиканский реабилитационный центр </w:t>
      </w:r>
    </w:p>
    <w:p w:rsidR="00365EFF" w:rsidRDefault="00365EFF" w:rsidP="0064074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40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для детей-инвалидов</w:t>
      </w:r>
    </w:p>
    <w:p w:rsidR="007C2C90" w:rsidRPr="00640745" w:rsidRDefault="007C2C90" w:rsidP="0064074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C2C90" w:rsidRDefault="00365EFF" w:rsidP="0064074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t>Государственное учреждение "Республиканский реабилитационный центр для детей-инвалидов" с 2000 года осуществляет комплексную медицинскую, психолого-педагогическую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реабилитацию и социальную адаптацию детей-инвалидов 3-18 лет с заболеваниями нервной и костно-мышечной систем, следствием которых являются нарушения функций опорно-двигательного аппарата.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Цель деятельности Центра – реализация права детей-инвалидов на получение оптимального физического, интеллектуального и социального уровня жизни, которая достигается современными методами медицинской и физической реабилитации, педагогической и психологической коррекции, профессионально ориентированной деятельностью.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Центр располагает хорошей материально-технической базой. Дети проживают в просторных комфортных помещениях, в которых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расположены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спальная и игровая зоны: тренажерный зал, массажный кабинет, санитарные помещения, имеется отдельный выход на внутренний двор с игровыми площадками, дорожкой со специальным покрытием и аллеей хвойных и миндальных деревьев. В каждой группе размещается от 13 до 15 человек в соответствии с возрастом.</w:t>
      </w:r>
    </w:p>
    <w:p w:rsidR="00D944AD" w:rsidRPr="007C2C90" w:rsidRDefault="00365EFF" w:rsidP="0064074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Формы пребывания детей-инвалидов в Центре: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•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Стационарная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(проживание в группах)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•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Дневной стационар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В структуре учреждения работают два реабилитационных отделения: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•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Отделение медицинской реабилитации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•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Отделение социальной и психолого-педагогической реабилитации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Реабилитацию осуществляет команда специалистов: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врач-невролог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медицинская сестра по массажу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врач-травматолог-ортопед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учитель-дефектолог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 ЛФК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педагог-психолог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рефлексотерапевт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воспитатель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врач-физиотерапевт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социальный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педагог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="00824DFE"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врач-стоматолог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                         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640745" w:rsidRDefault="00365EFF" w:rsidP="00640745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инструктор по трудовой терапии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инструктор-методист по ЛФК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7C2C90" w:rsidRPr="007C2C90" w:rsidRDefault="007C2C90" w:rsidP="00640745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B13E7" w:rsidRPr="007C2C90" w:rsidRDefault="00365EFF" w:rsidP="00640745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ОСНОВНЫЕ НАПРАВЛЕНИЯ ДЕЯТЕЛЬНОСТИ ЦЕНТРА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  <w:t>Использование комплекса медицинских мероприятий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  <w:t>Методы физической реабилитации: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кинезотерапия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(в том числе на специализированных реабилитационных тренажерах, адаптированных спортивных тренажерах, использование методик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Текорюса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Бобота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Кэбота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 аппарата Гросса, реабилитационных костюмов «Адели» и «Атлант»), велосипед-уникум «АНГЕЛ-СОЛО»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тренировки с использованием методик диагностирования, планирования, разработки индивидуальных программ занятий на роботизированных реабилитационных системах «ТИМО», «ПАБЛО», « THERA-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Trainer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»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ыработка навыков самостоятельной ходьбы на тренажере «ИМИТРОН»;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«Динамический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параподиум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».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Восстановительная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терапии пальцев  рук на роботизированной реабилитацион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>ной системе с обратной связью «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Amadeo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».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Тренировка нижних конечностей с использованием электростимуляции мышц на педиатрическом велоэргометре для детей от 4 до 12 лет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асслабляющие и корригирующие укладки с песком;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индивидуальные и групповые занятия ЛФК;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массаж;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гидрокинезотерапия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адаптивная физическая культура.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Аппаратная электротерапия: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лазеротерапия;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светолечение «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Биоптрон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»;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КВЧ-терапия;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магнитотерапия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дарсонвализация;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электролечение;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криотерапия;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электростатический массаж системы «ХИВАМАТ».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Водолечение: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ванны минеральные, лекарственные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ванны жемчужные;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ванны вихревые общие, ножные и ручные;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подводный душ-массаж.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Теплолечение: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парафиновые, озокеритовые аппликации;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терапия в современной сауне.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Рефлексотерапия: 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классическая рефлексотерапия;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лазеропунктура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КВЧ-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пунктура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акупрессура (точечный массаж);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Музыкотерапия: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использование кушетки для релаксации со звуковым массажем.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Технические средства компенсации: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кресла-коляски,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ходилки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ортезы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 тутора.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Цели и методы психолого-педагогической и социальной реабилитации. 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Развитие навыков самообслуживания, трудовых навыков и умений, необходимых в повседневной жизни, проведение мероприятий по максимальному их привитию у детей-инвалидов (программа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Монтессори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)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азвитие независимости (самостоятельности), социально-трудовая адаптация;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эрготерапия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(работа с глиной, графика, шитье, вязание, макраме,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бисероплетение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 работа с кожей, компьютерный кружок);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изотерапия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(рисование карандашами,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красками, нетрадиционные методы рисования: пальчиковые краски, витражное рисование)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 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абота педагога-воспитателя (кружковая деятельность по развитию творческого потенциала ребенка, экскурсии, посещение выставок, кинотеатров, музеев, оказание информационной и консультативной помощи родителям);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работа педагога-психолога (психодиагностика, консультации, индивидуальная и групповая работа, тренинги);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Использование метода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нейрослуховой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стимуляции ТОМАТIS;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коррекционно-развивающая работа учителя-дефектолога;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 работа социального педагога (организация культурно-массовых мероприятий, проведение занятий по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кинологотерапии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 взаимодействие с общественными и государственными организациями);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работа музыкального руководителя (коррекционная работа, организация праздничных мероприятий);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комплексная профессионально ориентированная диагностика и обучение навыкам профессии.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Показания для приема в Центр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Нарушение жизнедеятельности (или различные степени утраты здоровья) и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социальная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дезадаптация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вследствие заболеваний нервной и костно-мышечной систем и нарушение функции опорно-двигательного аппарата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1.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Детский церебральный паралич (различные формы и степени тяжести 1-3).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2.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Последствия раннего органического поражения ЦНС с двигательными нарушениями и без выраженных нарушений интеллекта.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3.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Последствия перенесенных воспалительных заболеваний центральной и периферической нервных систем (менингиты,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менигоцефалиты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нейроинфекции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полиневропатии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различного генеза и т.д.).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4.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Прогрессирующие нервно-мышечные заболевания в стадии компенсации и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субкомпенсации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без тяжелых нарушений со стороны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сердечно-сосудистой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и дыхательных систем.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5.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Врожденная гидроцефалия в стадии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субкомпенсации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и компенсации.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6.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Болезнь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Пертеса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в стадии исхода (4 стадия) при самостоятельном передвижении.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7.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Врожденные аномалии (пороки развития) входящие в группу по МКБ 10 (Q65-Q79):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- дисплазия тазобедренных суставов (вывихи, подвывихи)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-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рожденная деформа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ция стопы (косолапость) и др.,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7C2C90" w:rsidRDefault="00365EFF" w:rsidP="001B13E7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t>-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полидактилия, синдактилия,</w:t>
      </w:r>
      <w:proofErr w:type="gramStart"/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-</w:t>
      </w:r>
      <w:proofErr w:type="spellStart"/>
      <w:proofErr w:type="gramEnd"/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артрогрипоз</w:t>
      </w:r>
      <w:proofErr w:type="spellEnd"/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-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хондроплазия</w:t>
      </w:r>
      <w:proofErr w:type="spellEnd"/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и другие.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8.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Диспластические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сколиозы.</w:t>
      </w:r>
    </w:p>
    <w:p w:rsidR="001B13E7" w:rsidRPr="007C2C90" w:rsidRDefault="00365EFF" w:rsidP="001B13E7">
      <w:pPr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Медицинские противопоказания для приема в Центр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се заболевания в остром периоде.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Активный туберкулез.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Злокачественные новообразования.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Эпилептические, судорожные припадки (ремиссия менее шести месяцев).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Психические расстройства, угрожающие жизни и здоровью окружающих.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Нарушение функций тазовых органов.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Нарушение слуха и зрения III IV степени (при отсутствии компенсации).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Грибковые заболевания.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Хронические заболевания внутренних органов в стадии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субкомпенсации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и декомпенсации.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Тяжёлая и глубокая степень умственной отсталости.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Отсутствие реабилитационного потенциала.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Изменения в анализе крови, характеризующие воспалительный процесс.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Перечень документов, необходимых для приёма детей-инвалидов в Центр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Выписка из амбулаторной карты прилагаемого образца с указанием прививочного статуса.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Заключение Центра коррекционно-развивающего обучения и реабилитации с указанием программы обучения и ее реализации на момент поступления в РРЦДИ.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Справка из школы с указанием класса и формы обучения, медицинской группы занятий по физкультуре.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Ксерокопия удостоверения ребенка-инвалида.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Рентгенограммы (при ортопедической патологии).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Общий анализ крови, мочи, кала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я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/глист, мазок на энтеробиоз (острицы) (действительны - 10 дней).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Справка об отсутствии контакта с инфекционными больными (действительна 3 дня).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Справка об отсутствии кожных и инфекционных заболеваний.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ЭКГ с заключением (один раз в текущем году).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При наличии за последние 12 месяцев судорог необходима электроэнцефалограмма с заключением, сроком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давности не более 3-х месяцев.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Флюорография для детей старше 17 лет.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При совместном пребывании с ребенком одного из родителей (в т.ч. дневной стационар), сопровождающему лицу необходимо предоставить флюорографию, анализ на энтеробиоз, справку об отсутствии венерических заболеваний.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         Дополнительная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информация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>: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Приглашение на реабилитацию ребенка-инвалида осуществляется после рассмотрения поступивших на него документов либо после консультативного осмотра ребенка Приемно-консультативной комиссией Центра.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Время работы комиссии – каждый четверг с 9.00 до 13.00.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Иногородние дети-инвалиды, нуждающиеся в дополнительном уходе, по решению Приемно-консультативной комиссии Центра могут приниматься с одним из родителей или лицом, заменяющим их. Им предоставляется место проживания в комнате матери и ребенка Центра.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Сроки реабилитации устанавливаются индивидуально и составляют от одного до трех месяцев в течение календарного года.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После прохождения курса реабилитации выдается выписка из реабилитационной карты ребенка-инвалида с указанием перечня проведенных реабилитационных мероприятий, их эффективности с соответствующими рекомендациями.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Повторные курсы реабилитации назначаются по решению Приемно-консультативной комиссии Центра в соответствии с графиками заездов детей-инвалидов на реабилитацию. Продолжительность одного курса (заезда) составляет 4-6 недель в зависимости от возраста ребенка с инвалидностью.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На время медицинской реабилитации ребенка-инвалида матери ребенка либо другому лицу, фактически осуществляющему уход за ребенком-инвалидом в возрасте до 18 лет, предоставляется пособие по временной нетрудоспособности по уходу за ребенком-инвалидом в возрасте до 18 лет по месту жительства в соответствии со статьёй 19 Закона Республики Беларусь от 29.12.2012 № 7-З «О государственных пособиях семьям, воспитывающим детей», не более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чем на один срок медицин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ской реабилитации в календарном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году.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Реабилитация детей-инвалидов в Центре осуществляется бесплатно.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Справки и предварительная запись на консультацию по телефонам: </w:t>
      </w:r>
    </w:p>
    <w:p w:rsidR="00365EFF" w:rsidRPr="007C2C90" w:rsidRDefault="001B13E7" w:rsidP="001B13E7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8(017)</w:t>
      </w:r>
      <w:r w:rsidR="00365EFF"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281-60-86 с 8.00 до 16.00 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t>(регистратура)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8 (017) 281-69-11 с 16.00 до 22.00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8 044 528 20 40 (мобильный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А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1</w:t>
      </w:r>
      <w:proofErr w:type="gramEnd"/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t>)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Контакты: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t>220049, г. Минск, ул. Севастопольская, 56 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(проезд троллейбусами № 29 и 61 до остановки «Севастопольский парк»)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E-</w:t>
      </w:r>
      <w:proofErr w:type="spellStart"/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t>mail</w:t>
      </w:r>
      <w:proofErr w:type="spellEnd"/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t>: rrcdi@tut.by, интернет-сайт: www.reacenter.by</w:t>
      </w:r>
    </w:p>
    <w:p w:rsidR="00365EFF" w:rsidRPr="007C2C90" w:rsidRDefault="00365EFF" w:rsidP="00365EFF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Перечень документов для приема в центр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365EFF" w:rsidRPr="007C2C90" w:rsidRDefault="007C2C90" w:rsidP="00365EFF">
      <w:pPr>
        <w:rPr>
          <w:rFonts w:ascii="Times New Roman" w:hAnsi="Times New Roman" w:cs="Times New Roman"/>
          <w:sz w:val="18"/>
          <w:szCs w:val="18"/>
          <w:lang w:eastAsia="ru-RU"/>
        </w:rPr>
      </w:pPr>
      <w:hyperlink r:id="rId6" w:anchor="sppb-tab1-1" w:history="1">
        <w:r w:rsidR="00365EFF" w:rsidRPr="007C2C90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Документы для рассмотрения о возможности реабилитации в Центре</w:t>
        </w:r>
      </w:hyperlink>
    </w:p>
    <w:p w:rsidR="00365EFF" w:rsidRPr="007C2C90" w:rsidRDefault="007C2C90" w:rsidP="00365EFF">
      <w:pPr>
        <w:rPr>
          <w:rFonts w:ascii="Times New Roman" w:hAnsi="Times New Roman" w:cs="Times New Roman"/>
          <w:sz w:val="18"/>
          <w:szCs w:val="18"/>
          <w:lang w:eastAsia="ru-RU"/>
        </w:rPr>
      </w:pPr>
      <w:hyperlink r:id="rId7" w:anchor="sppb-tab1-2" w:history="1">
        <w:r w:rsidR="00365EFF" w:rsidRPr="007C2C90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Документы при поступлении после подтверждения о реабилитации</w:t>
        </w:r>
      </w:hyperlink>
    </w:p>
    <w:p w:rsidR="00365EFF" w:rsidRPr="007C2C90" w:rsidRDefault="00365EFF" w:rsidP="00365EFF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Выписку из амбулаторной карты (</w:t>
      </w:r>
      <w:hyperlink r:id="rId8" w:tgtFrame="_blank" w:history="1">
        <w:r w:rsidRPr="007C2C90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выписка</w:t>
        </w:r>
      </w:hyperlink>
      <w:r w:rsidRPr="007C2C90">
        <w:rPr>
          <w:rFonts w:ascii="Times New Roman" w:hAnsi="Times New Roman" w:cs="Times New Roman"/>
          <w:sz w:val="20"/>
          <w:szCs w:val="20"/>
          <w:lang w:eastAsia="ru-RU"/>
        </w:rPr>
        <w:t>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Заключение Центра коррекционно-развивающего обучения и реабилитации (или его копию) (</w:t>
      </w:r>
      <w:hyperlink r:id="rId9" w:tgtFrame="_blank" w:history="1">
        <w:r w:rsidRPr="007C2C90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заключение</w:t>
        </w:r>
      </w:hyperlink>
      <w:r w:rsidRPr="007C2C90">
        <w:rPr>
          <w:rFonts w:ascii="Times New Roman" w:hAnsi="Times New Roman" w:cs="Times New Roman"/>
          <w:sz w:val="20"/>
          <w:szCs w:val="20"/>
          <w:lang w:eastAsia="ru-RU"/>
        </w:rPr>
        <w:t>); Справку для сопровождающего, который будет находиться с ребенком в период прохождения курса реабилитации (</w:t>
      </w:r>
      <w:hyperlink r:id="rId10" w:tgtFrame="_blank" w:history="1">
        <w:r w:rsidRPr="007C2C90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справка</w:t>
        </w:r>
      </w:hyperlink>
      <w:r w:rsidRPr="007C2C90">
        <w:rPr>
          <w:rFonts w:ascii="Times New Roman" w:hAnsi="Times New Roman" w:cs="Times New Roman"/>
          <w:sz w:val="20"/>
          <w:szCs w:val="20"/>
          <w:lang w:eastAsia="ru-RU"/>
        </w:rPr>
        <w:t>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Справку из школы с указанием класса и формы обучения, медицинской группы занятий по физкультуре (выдается в школе по месту жительства);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Ксерокопия удостоверения ребенка-инвалида;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Рентгенограммы (при ортопедической патологии);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Справка об отсутствии контакта с инфекционными больными (действительна 3 дня) (выдается в поликлинике по месту жительства);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Справка об отсутствии кожных и инфекционных заболеваний (выдается в поликлинике по месту жительства);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При наличии за последние 12 месяцев судорог необходима электроэнцефалограмма с заключением, сроком давности не более 3-х месяцев;</w:t>
      </w:r>
    </w:p>
    <w:p w:rsidR="00395891" w:rsidRPr="007C2C90" w:rsidRDefault="00365EFF" w:rsidP="007C2C90">
      <w:pPr>
        <w:jc w:val="both"/>
        <w:rPr>
          <w:rFonts w:ascii="Times New Roman" w:hAnsi="Times New Roman" w:cs="Times New Roman"/>
          <w:sz w:val="18"/>
          <w:szCs w:val="18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При совместном пребывании с ребенком одного из родителей (в т.ч. дневной стационар), сопровождающему лицу необходимо предоставить флюорографию, анализ на энтеробиоз, справку об отсутствии венерических заболеваний (выдается в поликлинике по месту жительства).</w:t>
      </w:r>
      <w:r w:rsidR="007C2C9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395891" w:rsidRPr="007C2C90" w:rsidSect="00640745">
      <w:pgSz w:w="16838" w:h="11906" w:orient="landscape"/>
      <w:pgMar w:top="426" w:right="253" w:bottom="142" w:left="284" w:header="708" w:footer="708" w:gutter="0"/>
      <w:cols w:num="4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3CE7"/>
    <w:multiLevelType w:val="multilevel"/>
    <w:tmpl w:val="A20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2652C"/>
    <w:multiLevelType w:val="multilevel"/>
    <w:tmpl w:val="1A9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EFF"/>
    <w:rsid w:val="001B13E7"/>
    <w:rsid w:val="00365EFF"/>
    <w:rsid w:val="00395891"/>
    <w:rsid w:val="00640745"/>
    <w:rsid w:val="007C2C90"/>
    <w:rsid w:val="00824DFE"/>
    <w:rsid w:val="00941DB3"/>
    <w:rsid w:val="00D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91"/>
  </w:style>
  <w:style w:type="paragraph" w:styleId="2">
    <w:name w:val="heading 2"/>
    <w:basedOn w:val="a"/>
    <w:link w:val="20"/>
    <w:uiPriority w:val="9"/>
    <w:qFormat/>
    <w:rsid w:val="00365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5E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5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815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35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066">
                  <w:marLeft w:val="-322"/>
                  <w:marRight w:val="-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3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6" w:color="auto"/>
                                                <w:left w:val="single" w:sz="8" w:space="16" w:color="E5E5E5"/>
                                                <w:bottom w:val="single" w:sz="8" w:space="16" w:color="E5E5E5"/>
                                                <w:right w:val="single" w:sz="8" w:space="16" w:color="E5E5E5"/>
                                              </w:divBdr>
                                              <w:divsChild>
                                                <w:div w:id="5062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30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5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125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619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9750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wixstatic.com/ugd/f43ad8_1e44f76368884b4a90da61f8e5d13c6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acenter.by/onewin/neobkhodimye-dokumen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center.by/onewin/neobkhodimye-dokument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wixstatic.com/ugd/f43ad8_b127e3f90cd84a06aaef3b1c5888de5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wixstatic.com/ugd/f43ad8_8938817e0be94bbba644f2d31114f57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5</cp:revision>
  <cp:lastPrinted>2021-08-03T13:28:00Z</cp:lastPrinted>
  <dcterms:created xsi:type="dcterms:W3CDTF">2021-08-03T09:12:00Z</dcterms:created>
  <dcterms:modified xsi:type="dcterms:W3CDTF">2021-08-03T13:28:00Z</dcterms:modified>
</cp:coreProperties>
</file>